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0" w:firstLineChars="200"/>
        <w:jc w:val="center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施佳妮语言与沟通能力</w:t>
      </w:r>
      <w:r>
        <w:rPr>
          <w:rFonts w:ascii="微软雅黑" w:hAnsi="微软雅黑" w:eastAsia="微软雅黑"/>
          <w:sz w:val="40"/>
        </w:rPr>
        <w:t>评估结果分析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1、</w:t>
      </w:r>
      <w:r>
        <w:rPr>
          <w:b/>
          <w:sz w:val="24"/>
        </w:rPr>
        <w:t>五大领域</w:t>
      </w:r>
      <w:r>
        <w:rPr>
          <w:rFonts w:hint="eastAsia"/>
          <w:b/>
          <w:sz w:val="24"/>
        </w:rPr>
        <w:t>评估</w:t>
      </w:r>
      <w:r>
        <w:rPr>
          <w:b/>
          <w:sz w:val="24"/>
        </w:rPr>
        <w:t>结果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</w:t>
            </w:r>
            <w:r>
              <w:rPr>
                <w:sz w:val="24"/>
              </w:rPr>
              <w:t>模块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社会适应能力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认知能力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语言与沟通能力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感知能力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运动能力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360" w:lineRule="auto"/>
        <w:ind w:firstLine="562" w:firstLineChars="200"/>
        <w:jc w:val="center"/>
        <w:rPr>
          <w:b/>
          <w:sz w:val="28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、语言与沟通能力评估结果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</w:t>
            </w:r>
            <w:r>
              <w:rPr>
                <w:sz w:val="24"/>
              </w:rPr>
              <w:t>模块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发音生理功能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发音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词句理解与运用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言语交际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会话技能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非言语交际</w:t>
            </w:r>
          </w:p>
        </w:tc>
        <w:tc>
          <w:tcPr>
            <w:tcW w:w="2765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  <w:b/>
          <w:sz w:val="28"/>
        </w:rPr>
      </w:pPr>
      <w:r>
        <w:drawing>
          <wp:inline distT="0" distB="0" distL="0" distR="0">
            <wp:extent cx="4533265" cy="2872740"/>
            <wp:effectExtent l="0" t="0" r="635" b="381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如上图</w:t>
      </w:r>
      <w:r>
        <w:rPr>
          <w:sz w:val="24"/>
        </w:rPr>
        <w:t>，</w:t>
      </w:r>
      <w:r>
        <w:rPr>
          <w:rFonts w:hint="eastAsia"/>
          <w:sz w:val="24"/>
        </w:rPr>
        <w:t>施佳妮在语言与沟通能力</w:t>
      </w:r>
      <w:r>
        <w:rPr>
          <w:sz w:val="24"/>
        </w:rPr>
        <w:t>的6</w:t>
      </w:r>
      <w:r>
        <w:rPr>
          <w:rFonts w:hint="eastAsia"/>
          <w:sz w:val="24"/>
        </w:rPr>
        <w:t>个</w:t>
      </w:r>
      <w:r>
        <w:rPr>
          <w:sz w:val="24"/>
        </w:rPr>
        <w:t>维度中表现均为一般，其中发音生理功能</w:t>
      </w:r>
      <w:r>
        <w:rPr>
          <w:rFonts w:hint="eastAsia"/>
          <w:sz w:val="24"/>
        </w:rPr>
        <w:t>与非言语交际能力相对较好；发音、</w:t>
      </w:r>
      <w:r>
        <w:rPr>
          <w:sz w:val="24"/>
        </w:rPr>
        <w:t>词句理解与运用</w:t>
      </w:r>
      <w:r>
        <w:rPr>
          <w:rFonts w:hint="eastAsia"/>
          <w:sz w:val="24"/>
        </w:rPr>
        <w:t>、言语交际能力和</w:t>
      </w:r>
      <w:r>
        <w:rPr>
          <w:sz w:val="24"/>
        </w:rPr>
        <w:t>会话技能</w:t>
      </w:r>
      <w:r>
        <w:rPr>
          <w:rFonts w:hint="eastAsia"/>
          <w:sz w:val="24"/>
        </w:rPr>
        <w:t>有待提高</w:t>
      </w:r>
      <w:r>
        <w:rPr>
          <w:sz w:val="24"/>
        </w:rPr>
        <w:t>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.1发音生理功能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评估模块</w:t>
            </w:r>
          </w:p>
        </w:tc>
        <w:tc>
          <w:tcPr>
            <w:tcW w:w="2904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言语呼吸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唇舌运动功能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</w:tbl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  <w:rPr>
          <w:sz w:val="24"/>
        </w:rPr>
      </w:pPr>
      <w:r>
        <w:drawing>
          <wp:inline distT="0" distB="0" distL="0" distR="0">
            <wp:extent cx="4224655" cy="2657475"/>
            <wp:effectExtent l="0" t="0" r="4445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如上图</w:t>
      </w:r>
      <w:r>
        <w:rPr>
          <w:sz w:val="24"/>
        </w:rPr>
        <w:t>，</w:t>
      </w:r>
      <w:r>
        <w:rPr>
          <w:rFonts w:hint="eastAsia"/>
          <w:sz w:val="24"/>
        </w:rPr>
        <w:t>施佳妮</w:t>
      </w:r>
      <w:r>
        <w:rPr>
          <w:sz w:val="24"/>
        </w:rPr>
        <w:t>的唇舌运动</w:t>
      </w:r>
      <w:r>
        <w:rPr>
          <w:rFonts w:hint="eastAsia"/>
          <w:sz w:val="24"/>
        </w:rPr>
        <w:t>功能</w:t>
      </w:r>
      <w:r>
        <w:rPr>
          <w:sz w:val="24"/>
        </w:rPr>
        <w:t>相对较好</w:t>
      </w:r>
      <w:r>
        <w:rPr>
          <w:rFonts w:hint="eastAsia"/>
          <w:sz w:val="24"/>
        </w:rPr>
        <w:t>，</w:t>
      </w:r>
      <w:r>
        <w:rPr>
          <w:sz w:val="24"/>
        </w:rPr>
        <w:t>但是言语呼吸能力有待提高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.2发音能力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评估模块</w:t>
            </w:r>
          </w:p>
        </w:tc>
        <w:tc>
          <w:tcPr>
            <w:tcW w:w="2904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声母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韵母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声调与语调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  <w:rPr>
          <w:sz w:val="24"/>
        </w:rPr>
      </w:pPr>
      <w:r>
        <w:drawing>
          <wp:inline distT="0" distB="0" distL="0" distR="0">
            <wp:extent cx="3657600" cy="1981200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如上图</w:t>
      </w:r>
      <w:r>
        <w:rPr>
          <w:sz w:val="24"/>
        </w:rPr>
        <w:t>，</w:t>
      </w:r>
      <w:r>
        <w:rPr>
          <w:rFonts w:hint="eastAsia"/>
          <w:sz w:val="24"/>
        </w:rPr>
        <w:t>施佳妮的发音能力表现出明显不足，其中韵母的发音稍好于声母和声调与语调，但都需进一步提高。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.3词句理解与运用能力</w:t>
      </w:r>
    </w:p>
    <w:p>
      <w:pPr>
        <w:spacing w:line="360" w:lineRule="auto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评估模块</w:t>
            </w:r>
          </w:p>
        </w:tc>
        <w:tc>
          <w:tcPr>
            <w:tcW w:w="2904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词语理解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词语运用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句子理解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句子运用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  <w:r>
        <w:drawing>
          <wp:inline distT="0" distB="0" distL="0" distR="0">
            <wp:extent cx="3581400" cy="1895475"/>
            <wp:effectExtent l="0" t="0" r="0" b="952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如上图</w:t>
      </w:r>
      <w:r>
        <w:rPr>
          <w:sz w:val="24"/>
        </w:rPr>
        <w:t>，</w:t>
      </w:r>
      <w:r>
        <w:rPr>
          <w:rFonts w:hint="eastAsia"/>
          <w:sz w:val="24"/>
        </w:rPr>
        <w:t>施佳妮在</w:t>
      </w:r>
      <w:r>
        <w:rPr>
          <w:sz w:val="24"/>
        </w:rPr>
        <w:t>词语和句子的理解与运用方面均表现出严重的不足</w:t>
      </w:r>
      <w:r>
        <w:rPr>
          <w:rFonts w:hint="eastAsia"/>
          <w:sz w:val="24"/>
        </w:rPr>
        <w:t>，仅</w:t>
      </w:r>
      <w:r>
        <w:rPr>
          <w:sz w:val="24"/>
        </w:rPr>
        <w:t>理解少数词语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.4言语交际能力</w:t>
      </w:r>
    </w:p>
    <w:p>
      <w:pPr>
        <w:spacing w:line="360" w:lineRule="auto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评估模块</w:t>
            </w:r>
          </w:p>
        </w:tc>
        <w:tc>
          <w:tcPr>
            <w:tcW w:w="2904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交际规则的遵守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交际环境的把握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交际策略的运用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  <w:rPr>
          <w:sz w:val="24"/>
        </w:rPr>
      </w:pPr>
      <w:r>
        <w:drawing>
          <wp:inline distT="0" distB="0" distL="0" distR="0">
            <wp:extent cx="4000500" cy="2143125"/>
            <wp:effectExtent l="0" t="0" r="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如上图</w:t>
      </w:r>
      <w:r>
        <w:rPr>
          <w:sz w:val="24"/>
        </w:rPr>
        <w:t>，</w:t>
      </w:r>
      <w:r>
        <w:rPr>
          <w:rFonts w:hint="eastAsia"/>
          <w:sz w:val="24"/>
        </w:rPr>
        <w:t>施佳妮不会运用交际策略，遵守交际规则和把握交际环境的能力存在明显不足。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.5会话技能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评估模块</w:t>
            </w:r>
          </w:p>
        </w:tc>
        <w:tc>
          <w:tcPr>
            <w:tcW w:w="2904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理解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提问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360" w:lineRule="auto"/>
      </w:pPr>
    </w:p>
    <w:p>
      <w:pPr>
        <w:spacing w:line="360" w:lineRule="auto"/>
        <w:jc w:val="center"/>
      </w:pPr>
      <w:r>
        <w:drawing>
          <wp:inline distT="0" distB="0" distL="0" distR="0">
            <wp:extent cx="3924300" cy="2085975"/>
            <wp:effectExtent l="0" t="0" r="0" b="952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如上图，施佳妮会话技能缺乏，其中提问和表达是她最大的问题，理解和回答相对好一点，但都需要进一步提高。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2.6非言语交际</w:t>
      </w:r>
    </w:p>
    <w:p>
      <w:pPr>
        <w:spacing w:line="360" w:lineRule="auto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评估模块</w:t>
            </w:r>
          </w:p>
        </w:tc>
        <w:tc>
          <w:tcPr>
            <w:tcW w:w="2904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非言语手段的理解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3" w:type="dxa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非言语手段的运用</w:t>
            </w:r>
          </w:p>
        </w:tc>
        <w:tc>
          <w:tcPr>
            <w:tcW w:w="29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83.0</w:t>
            </w:r>
          </w:p>
        </w:tc>
      </w:tr>
    </w:tbl>
    <w:p>
      <w:pPr>
        <w:tabs>
          <w:tab w:val="left" w:pos="3045"/>
        </w:tabs>
        <w:spacing w:line="360" w:lineRule="auto"/>
        <w:ind w:firstLine="480" w:firstLineChars="200"/>
      </w:pPr>
      <w:r>
        <w:rPr>
          <w:sz w:val="24"/>
        </w:rPr>
        <w:tab/>
      </w:r>
    </w:p>
    <w:p>
      <w:pPr>
        <w:tabs>
          <w:tab w:val="left" w:pos="3045"/>
        </w:tabs>
        <w:spacing w:line="360" w:lineRule="auto"/>
        <w:ind w:firstLine="420" w:firstLineChars="200"/>
        <w:jc w:val="center"/>
      </w:pPr>
      <w:r>
        <w:drawing>
          <wp:inline distT="0" distB="0" distL="0" distR="0">
            <wp:extent cx="3867150" cy="2238375"/>
            <wp:effectExtent l="0" t="0" r="0" b="952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tabs>
          <w:tab w:val="left" w:pos="3045"/>
        </w:tabs>
        <w:spacing w:line="360" w:lineRule="auto"/>
        <w:ind w:firstLine="420" w:firstLineChars="200"/>
        <w:jc w:val="center"/>
      </w:pPr>
      <w:bookmarkStart w:id="0" w:name="_GoBack"/>
      <w:bookmarkEnd w:id="0"/>
    </w:p>
    <w:p>
      <w:pPr>
        <w:tabs>
          <w:tab w:val="left" w:pos="304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如上图，施佳妮的非言语交际能力相对较好，她能较好的运用非言语手段，但非言语手段的理解有待提高。</w:t>
      </w:r>
    </w:p>
    <w:p>
      <w:pPr>
        <w:spacing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13"/>
    <w:rsid w:val="00005AC4"/>
    <w:rsid w:val="00007510"/>
    <w:rsid w:val="00063FBF"/>
    <w:rsid w:val="00083603"/>
    <w:rsid w:val="00151CD3"/>
    <w:rsid w:val="001B73FD"/>
    <w:rsid w:val="001D7FB5"/>
    <w:rsid w:val="00231DB9"/>
    <w:rsid w:val="00293B1C"/>
    <w:rsid w:val="00320586"/>
    <w:rsid w:val="0032678B"/>
    <w:rsid w:val="0034356D"/>
    <w:rsid w:val="003553DE"/>
    <w:rsid w:val="00367499"/>
    <w:rsid w:val="003A6D19"/>
    <w:rsid w:val="003E3B8E"/>
    <w:rsid w:val="004240FB"/>
    <w:rsid w:val="00436CCD"/>
    <w:rsid w:val="00502471"/>
    <w:rsid w:val="0051175A"/>
    <w:rsid w:val="005B7DC7"/>
    <w:rsid w:val="005F4ED3"/>
    <w:rsid w:val="005F7958"/>
    <w:rsid w:val="006737D9"/>
    <w:rsid w:val="006B4956"/>
    <w:rsid w:val="00730085"/>
    <w:rsid w:val="00741B87"/>
    <w:rsid w:val="00744CBD"/>
    <w:rsid w:val="007873C8"/>
    <w:rsid w:val="00806413"/>
    <w:rsid w:val="00882491"/>
    <w:rsid w:val="008F58E1"/>
    <w:rsid w:val="008F6807"/>
    <w:rsid w:val="00923E49"/>
    <w:rsid w:val="00935027"/>
    <w:rsid w:val="00946174"/>
    <w:rsid w:val="0095756F"/>
    <w:rsid w:val="00960FAE"/>
    <w:rsid w:val="00A05EFF"/>
    <w:rsid w:val="00A74931"/>
    <w:rsid w:val="00A76873"/>
    <w:rsid w:val="00B426D7"/>
    <w:rsid w:val="00BB59E6"/>
    <w:rsid w:val="00BD2F3A"/>
    <w:rsid w:val="00C23EE0"/>
    <w:rsid w:val="00C66FC0"/>
    <w:rsid w:val="00CC4096"/>
    <w:rsid w:val="00CF7401"/>
    <w:rsid w:val="00D27285"/>
    <w:rsid w:val="00D81D79"/>
    <w:rsid w:val="00E95AF2"/>
    <w:rsid w:val="00F14B9D"/>
    <w:rsid w:val="00F2213C"/>
    <w:rsid w:val="00F311C3"/>
    <w:rsid w:val="7BB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809-201901\&#35821;&#35328;&#19982;&#27807;&#36890;&#33021;&#21147;&#35780;&#20272;\&#35821;&#35328;&#19982;&#27807;&#36890;&#65288;&#30005;&#23376;&#35745;&#20998;&#34920;&#6528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file:///D:\&#24037;&#20316;\201809-201901\&#35821;&#35328;&#19982;&#27807;&#36890;&#33021;&#21147;&#35780;&#20272;\&#35821;&#35328;&#19982;&#27807;&#36890;&#65288;&#30005;&#23376;&#35745;&#20998;&#34920;&#65289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D:\&#24037;&#20316;\201809-201901\&#35821;&#35328;&#19982;&#27807;&#36890;&#33021;&#21147;&#35780;&#20272;\&#35821;&#35328;&#19982;&#27807;&#36890;&#65288;&#30005;&#23376;&#35745;&#20998;&#34920;&#65289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oleObject" Target="file:///D:\&#24037;&#20316;\201809-201901\&#35821;&#35328;&#19982;&#27807;&#36890;&#33021;&#21147;&#35780;&#20272;\&#35821;&#35328;&#19982;&#27807;&#36890;&#65288;&#30005;&#23376;&#35745;&#20998;&#34920;&#6528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oleObject" Target="file:///D:\&#24037;&#20316;\201809-201901\&#35821;&#35328;&#19982;&#27807;&#36890;&#33021;&#21147;&#35780;&#20272;\&#35821;&#35328;&#19982;&#27807;&#36890;&#65288;&#30005;&#23376;&#35745;&#20998;&#34920;&#6528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D:\&#24037;&#20316;\201809-201901\&#35821;&#35328;&#19982;&#27807;&#36890;&#33021;&#21147;&#35780;&#20272;\&#35821;&#35328;&#19982;&#27807;&#36890;&#65288;&#30005;&#23376;&#35745;&#20998;&#349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562580904427"/>
          <c:y val="0.0667646428163664"/>
          <c:w val="0.814437419095573"/>
          <c:h val="0.6337976641669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柱状图!$A$1:$A$6</c:f>
              <c:strCache>
                <c:ptCount val="6"/>
                <c:pt idx="0">
                  <c:v>构音生理功能</c:v>
                </c:pt>
                <c:pt idx="1">
                  <c:v>发音</c:v>
                </c:pt>
                <c:pt idx="2">
                  <c:v>词句理解与运用</c:v>
                </c:pt>
                <c:pt idx="3">
                  <c:v>言语交际</c:v>
                </c:pt>
                <c:pt idx="4">
                  <c:v>会话技能</c:v>
                </c:pt>
                <c:pt idx="5">
                  <c:v>非言语交际</c:v>
                </c:pt>
              </c:strCache>
            </c:strRef>
          </c:cat>
          <c:val>
            <c:numRef>
              <c:f>柱状图!$B$1:$B$6</c:f>
              <c:numCache>
                <c:formatCode>General</c:formatCode>
                <c:ptCount val="6"/>
                <c:pt idx="0">
                  <c:v>50</c:v>
                </c:pt>
                <c:pt idx="1">
                  <c:v>4.5</c:v>
                </c:pt>
                <c:pt idx="2">
                  <c:v>0.9</c:v>
                </c:pt>
                <c:pt idx="3">
                  <c:v>16.7</c:v>
                </c:pt>
                <c:pt idx="4">
                  <c:v>7.1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09920"/>
        <c:axId val="1640819168"/>
      </c:barChart>
      <c:catAx>
        <c:axId val="164080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19168"/>
        <c:crosses val="autoZero"/>
        <c:auto val="1"/>
        <c:lblAlgn val="ctr"/>
        <c:lblOffset val="100"/>
        <c:noMultiLvlLbl val="0"/>
      </c:catAx>
      <c:valAx>
        <c:axId val="16408191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09920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chemeClr val="tx1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柱状图!$A$14:$A$15</c:f>
              <c:strCache>
                <c:ptCount val="2"/>
                <c:pt idx="0">
                  <c:v>言语呼吸</c:v>
                </c:pt>
                <c:pt idx="1">
                  <c:v>唇舌运动</c:v>
                </c:pt>
              </c:strCache>
            </c:strRef>
          </c:cat>
          <c:val>
            <c:numRef>
              <c:f>柱状图!$B$14:$B$15</c:f>
              <c:numCache>
                <c:formatCode>General</c:formatCode>
                <c:ptCount val="2"/>
                <c:pt idx="0">
                  <c:v>16.7</c:v>
                </c:pt>
                <c:pt idx="1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01216"/>
        <c:axId val="1640819712"/>
      </c:barChart>
      <c:catAx>
        <c:axId val="164080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19712"/>
        <c:crosses val="autoZero"/>
        <c:auto val="1"/>
        <c:lblAlgn val="ctr"/>
        <c:lblOffset val="100"/>
        <c:noMultiLvlLbl val="0"/>
      </c:catAx>
      <c:valAx>
        <c:axId val="16408197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01216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柱状图!$A$20:$A$22</c:f>
              <c:strCache>
                <c:ptCount val="3"/>
                <c:pt idx="0">
                  <c:v>声母</c:v>
                </c:pt>
                <c:pt idx="1">
                  <c:v>韵母</c:v>
                </c:pt>
                <c:pt idx="2">
                  <c:v>声调与语调</c:v>
                </c:pt>
              </c:strCache>
            </c:strRef>
          </c:cat>
          <c:val>
            <c:numRef>
              <c:f>柱状图!$B$20:$B$22</c:f>
              <c:numCache>
                <c:formatCode>General</c:formatCode>
                <c:ptCount val="3"/>
                <c:pt idx="0">
                  <c:v>0</c:v>
                </c:pt>
                <c:pt idx="1">
                  <c:v>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18624"/>
        <c:axId val="1640806112"/>
      </c:barChart>
      <c:catAx>
        <c:axId val="164081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06112"/>
        <c:crosses val="autoZero"/>
        <c:auto val="1"/>
        <c:lblAlgn val="ctr"/>
        <c:lblOffset val="100"/>
        <c:noMultiLvlLbl val="0"/>
      </c:catAx>
      <c:valAx>
        <c:axId val="16408061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18624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柱状图!$A$26:$A$29</c:f>
              <c:strCache>
                <c:ptCount val="4"/>
                <c:pt idx="0">
                  <c:v>词语理解</c:v>
                </c:pt>
                <c:pt idx="1">
                  <c:v>词语运用</c:v>
                </c:pt>
                <c:pt idx="2">
                  <c:v>句子理解</c:v>
                </c:pt>
                <c:pt idx="3">
                  <c:v>句子运用</c:v>
                </c:pt>
              </c:strCache>
            </c:strRef>
          </c:cat>
          <c:val>
            <c:numRef>
              <c:f>柱状图!$B$26:$B$29</c:f>
              <c:numCache>
                <c:formatCode>General</c:formatCode>
                <c:ptCount val="4"/>
                <c:pt idx="0">
                  <c:v>3.6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23520"/>
        <c:axId val="1640801760"/>
      </c:barChart>
      <c:catAx>
        <c:axId val="16408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01760"/>
        <c:crosses val="autoZero"/>
        <c:auto val="1"/>
        <c:lblAlgn val="ctr"/>
        <c:lblOffset val="100"/>
        <c:noMultiLvlLbl val="0"/>
      </c:catAx>
      <c:valAx>
        <c:axId val="16408017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23520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柱状图!$A$35:$A$37</c:f>
              <c:strCache>
                <c:ptCount val="3"/>
                <c:pt idx="0">
                  <c:v>交际规则的遵守</c:v>
                </c:pt>
                <c:pt idx="1">
                  <c:v>交际环境的把握</c:v>
                </c:pt>
                <c:pt idx="2">
                  <c:v>交际策略的运用</c:v>
                </c:pt>
              </c:strCache>
            </c:strRef>
          </c:cat>
          <c:val>
            <c:numRef>
              <c:f>柱状图!$B$35:$B$37</c:f>
              <c:numCache>
                <c:formatCode>General</c:formatCode>
                <c:ptCount val="3"/>
                <c:pt idx="0">
                  <c:v>50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22976"/>
        <c:axId val="1640827328"/>
      </c:barChart>
      <c:catAx>
        <c:axId val="164082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27328"/>
        <c:crosses val="autoZero"/>
        <c:auto val="1"/>
        <c:lblAlgn val="ctr"/>
        <c:lblOffset val="100"/>
        <c:noMultiLvlLbl val="0"/>
      </c:catAx>
      <c:valAx>
        <c:axId val="1640827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22976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779732968161588"/>
          <c:y val="0.0289047651725589"/>
          <c:w val="0.817126772196954"/>
          <c:h val="0.8249893334845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柱状图!$A$40:$A$43</c:f>
              <c:strCache>
                <c:ptCount val="4"/>
                <c:pt idx="0">
                  <c:v>理解</c:v>
                </c:pt>
                <c:pt idx="1">
                  <c:v>回答</c:v>
                </c:pt>
                <c:pt idx="2">
                  <c:v>提问</c:v>
                </c:pt>
                <c:pt idx="3">
                  <c:v>表达</c:v>
                </c:pt>
              </c:strCache>
            </c:strRef>
          </c:cat>
          <c:val>
            <c:numRef>
              <c:f>柱状图!$B$40:$B$43</c:f>
              <c:numCache>
                <c:formatCode>General</c:formatCode>
                <c:ptCount val="4"/>
                <c:pt idx="0">
                  <c:v>8.3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20256"/>
        <c:axId val="1640821888"/>
      </c:barChart>
      <c:catAx>
        <c:axId val="164082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21888"/>
        <c:crosses val="autoZero"/>
        <c:auto val="1"/>
        <c:lblAlgn val="ctr"/>
        <c:lblOffset val="100"/>
        <c:noMultiLvlLbl val="0"/>
      </c:catAx>
      <c:valAx>
        <c:axId val="16408218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20256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6986409307532"/>
          <c:y val="0.0764057873548724"/>
          <c:w val="0.817126772196954"/>
          <c:h val="0.8246778939109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dLbl>
              <c:idx val="0"/>
              <c:layout>
                <c:manualLayout>
                  <c:x val="-0.000379517777669096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229471316085489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柱状图!$A$48:$A$49</c:f>
              <c:strCache>
                <c:ptCount val="2"/>
                <c:pt idx="0">
                  <c:v>非言语手段的理解</c:v>
                </c:pt>
                <c:pt idx="1">
                  <c:v>非言语手段的运用</c:v>
                </c:pt>
              </c:strCache>
            </c:strRef>
          </c:cat>
          <c:val>
            <c:numRef>
              <c:f>柱状图!$B$48:$B$49</c:f>
              <c:numCache>
                <c:formatCode>General</c:formatCode>
                <c:ptCount val="2"/>
                <c:pt idx="0">
                  <c:v>25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827872"/>
        <c:axId val="1640810464"/>
      </c:barChart>
      <c:catAx>
        <c:axId val="164082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10464"/>
        <c:crosses val="autoZero"/>
        <c:auto val="1"/>
        <c:lblAlgn val="ctr"/>
        <c:lblOffset val="100"/>
        <c:noMultiLvlLbl val="0"/>
      </c:catAx>
      <c:valAx>
        <c:axId val="16408104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ash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得分率（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  <a:endParaRPr lang="zh-CN" altLang="en-US"/>
              </a:p>
            </c:rich>
          </c:tx>
          <c:layout/>
          <c:overlay val="0"/>
        </c:title>
        <c:numFmt formatCode="#,##0_);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0827872"/>
        <c:crosses val="autoZero"/>
        <c:crossBetween val="between"/>
        <c:majorUnit val="25"/>
      </c:valAx>
    </c:plotArea>
    <c:plotVisOnly val="1"/>
    <c:dispBlanksAs val="gap"/>
    <c:showDLblsOverMax val="0"/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7C2EB-4E10-4B6B-9E93-76CBE7AAA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124</Words>
  <Characters>712</Characters>
  <Lines>5</Lines>
  <Paragraphs>1</Paragraphs>
  <TotalTime>16</TotalTime>
  <ScaleCrop>false</ScaleCrop>
  <LinksUpToDate>false</LinksUpToDate>
  <CharactersWithSpaces>835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2018-10-16T12:23:00Z</dcterms:created>
  <dc:creator>User</dc:creator>
  <cp:lastModifiedBy>颜玲</cp:lastModifiedBy>
  <dcterms:modified xsi:type="dcterms:W3CDTF">2020-05-11T14:30:36Z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